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68" w:rsidRDefault="007A5D44">
      <w:pPr>
        <w:pStyle w:val="Standard"/>
        <w:spacing w:after="240" w:line="440" w:lineRule="exact"/>
        <w:rPr>
          <w:rFonts w:ascii="標楷體" w:eastAsia="標楷體" w:hAnsi="標楷體" w:cs="標楷體"/>
          <w:bCs/>
          <w:sz w:val="40"/>
        </w:rPr>
      </w:pPr>
      <w:bookmarkStart w:id="0" w:name="_GoBack"/>
      <w:r>
        <w:rPr>
          <w:rFonts w:ascii="標楷體" w:eastAsia="標楷體" w:hAnsi="標楷體" w:cs="標楷體"/>
          <w:bCs/>
          <w:sz w:val="40"/>
        </w:rPr>
        <w:t>公立學校教職員退休資遣撫卹條例施行細則部分條文修正條文</w:t>
      </w:r>
    </w:p>
    <w:bookmarkEnd w:id="0"/>
    <w:p w:rsidR="00695668" w:rsidRDefault="007A5D44">
      <w:pPr>
        <w:pStyle w:val="Standard"/>
        <w:tabs>
          <w:tab w:val="left" w:pos="3527"/>
        </w:tabs>
        <w:wordWrap/>
        <w:overflowPunct/>
        <w:spacing w:line="460" w:lineRule="exact"/>
        <w:ind w:left="1400" w:right="42" w:hanging="1400"/>
      </w:pPr>
      <w:r>
        <w:rPr>
          <w:rFonts w:eastAsia="標楷體"/>
          <w:sz w:val="28"/>
        </w:rPr>
        <w:t>第七條之一</w:t>
      </w:r>
      <w:r>
        <w:rPr>
          <w:rFonts w:eastAsia="Times New Roman"/>
          <w:sz w:val="28"/>
        </w:rPr>
        <w:t xml:space="preserve">　　</w:t>
      </w:r>
      <w:r>
        <w:rPr>
          <w:rFonts w:eastAsia="標楷體"/>
          <w:sz w:val="28"/>
        </w:rPr>
        <w:t>本條例第八條第五項所稱教職員依本條例規定繳付之退撫基金費用，指教職員依本條例第八條第一項至第四項規定繳付之退撫基金費用，與依本條例第十三條第一項第五款至第九款、第二項及第三項規定，申請補繳中華民國一百十年一月一日以後年資之退撫基金費用本息。但逾本條例第十四條第一項及第二項所定三個月期限後始申請補繳而應另加計之利息，不在此限。</w:t>
      </w:r>
    </w:p>
    <w:p w:rsidR="00695668" w:rsidRDefault="007A5D44">
      <w:pPr>
        <w:pStyle w:val="Standard"/>
        <w:tabs>
          <w:tab w:val="left" w:pos="3527"/>
        </w:tabs>
        <w:wordWrap/>
        <w:overflowPunct/>
        <w:spacing w:line="460" w:lineRule="exact"/>
        <w:ind w:left="1400" w:right="42" w:hanging="1400"/>
      </w:pPr>
      <w:r>
        <w:rPr>
          <w:rFonts w:eastAsia="標楷體"/>
          <w:sz w:val="28"/>
        </w:rPr>
        <w:t>第二十八條</w:t>
      </w:r>
      <w:r>
        <w:rPr>
          <w:rFonts w:eastAsia="Times New Roman"/>
          <w:sz w:val="28"/>
        </w:rPr>
        <w:t xml:space="preserve">　　</w:t>
      </w:r>
      <w:r>
        <w:rPr>
          <w:rFonts w:eastAsia="標楷體"/>
          <w:sz w:val="28"/>
        </w:rPr>
        <w:t>中華民國一百零七年七月一日以後退休生效之教職員，其退休金計算基準以本條例第二十八條第二項附表一所列其退休年度適用之平均薪額為準。</w:t>
      </w:r>
    </w:p>
    <w:p w:rsidR="00695668" w:rsidRDefault="007A5D44">
      <w:pPr>
        <w:pStyle w:val="Standard"/>
        <w:tabs>
          <w:tab w:val="left" w:pos="2858"/>
          <w:tab w:val="left" w:pos="2888"/>
        </w:tabs>
        <w:wordWrap/>
        <w:overflowPunct/>
        <w:spacing w:line="460" w:lineRule="exact"/>
        <w:ind w:left="1418" w:right="42" w:firstLine="630"/>
        <w:rPr>
          <w:rFonts w:eastAsia="標楷體"/>
          <w:sz w:val="28"/>
        </w:rPr>
      </w:pPr>
      <w:r>
        <w:rPr>
          <w:rFonts w:eastAsia="標楷體"/>
          <w:sz w:val="28"/>
        </w:rPr>
        <w:t>前項所定平均薪額以其退休年度適用之平均薪</w:t>
      </w:r>
      <w:r>
        <w:rPr>
          <w:rFonts w:eastAsia="標楷體"/>
          <w:sz w:val="28"/>
        </w:rPr>
        <w:t>額計算年數，照該區間實際繳付退撫基金費用之待遇標準計算；該區間有未繳付退撫基金費用之年資者，以該年資實際支領本（年功）薪額之待遇標準計算。但非依教職員相關待遇法令規定核敘薪點（額）並依行政院核定薪點（額）折算金額之年資，應換算同期間相當教職員相同職級之待遇標準計算。</w:t>
      </w:r>
    </w:p>
    <w:p w:rsidR="00695668" w:rsidRDefault="007A5D44">
      <w:pPr>
        <w:pStyle w:val="Standard"/>
        <w:wordWrap/>
        <w:overflowPunct/>
        <w:spacing w:line="460" w:lineRule="exact"/>
        <w:ind w:left="1418" w:right="42" w:firstLine="630"/>
        <w:rPr>
          <w:rFonts w:eastAsia="標楷體"/>
          <w:sz w:val="28"/>
        </w:rPr>
      </w:pPr>
      <w:r>
        <w:rPr>
          <w:rFonts w:eastAsia="標楷體"/>
          <w:sz w:val="28"/>
        </w:rPr>
        <w:t>前項所定平均薪額計算年數，依下列規定計算：</w:t>
      </w:r>
    </w:p>
    <w:p w:rsidR="00695668" w:rsidRDefault="007A5D44">
      <w:pPr>
        <w:pStyle w:val="Standard"/>
        <w:numPr>
          <w:ilvl w:val="0"/>
          <w:numId w:val="17"/>
        </w:numPr>
        <w:wordWrap/>
        <w:overflowPunct/>
        <w:spacing w:line="460" w:lineRule="exact"/>
        <w:ind w:left="2608" w:right="42" w:hanging="560"/>
        <w:rPr>
          <w:rFonts w:eastAsia="標楷體"/>
          <w:sz w:val="28"/>
        </w:rPr>
      </w:pPr>
      <w:r>
        <w:rPr>
          <w:rFonts w:eastAsia="標楷體"/>
          <w:sz w:val="28"/>
        </w:rPr>
        <w:t>照退休年度所適用之計算年數，自退休教職員退休生效日前一日往前推算，並按日十足計算。</w:t>
      </w:r>
    </w:p>
    <w:p w:rsidR="00695668" w:rsidRDefault="007A5D44">
      <w:pPr>
        <w:pStyle w:val="Standard"/>
        <w:numPr>
          <w:ilvl w:val="0"/>
          <w:numId w:val="9"/>
        </w:numPr>
        <w:wordWrap/>
        <w:overflowPunct/>
        <w:spacing w:line="460" w:lineRule="exact"/>
        <w:ind w:left="2608" w:right="42" w:hanging="560"/>
        <w:rPr>
          <w:rFonts w:eastAsia="標楷體"/>
          <w:sz w:val="28"/>
        </w:rPr>
      </w:pPr>
      <w:r>
        <w:rPr>
          <w:rFonts w:eastAsia="標楷體"/>
          <w:sz w:val="28"/>
        </w:rPr>
        <w:t>遇有不符退休年資採計規定之期間，致計算年數中斷者，扣除該期間後，往前計算至退休年度適用之計算年數止。畸零日數得合併計</w:t>
      </w:r>
      <w:r>
        <w:rPr>
          <w:rFonts w:eastAsia="標楷體"/>
          <w:sz w:val="28"/>
        </w:rPr>
        <w:t>算，並以三十日折算一個月。</w:t>
      </w:r>
    </w:p>
    <w:p w:rsidR="00695668" w:rsidRDefault="007A5D44">
      <w:pPr>
        <w:pStyle w:val="Standard"/>
        <w:numPr>
          <w:ilvl w:val="0"/>
          <w:numId w:val="9"/>
        </w:numPr>
        <w:wordWrap/>
        <w:overflowPunct/>
        <w:spacing w:line="460" w:lineRule="exact"/>
        <w:ind w:left="2608" w:right="42" w:hanging="560"/>
        <w:rPr>
          <w:rFonts w:eastAsia="標楷體"/>
          <w:sz w:val="28"/>
        </w:rPr>
      </w:pPr>
      <w:r>
        <w:rPr>
          <w:rFonts w:eastAsia="標楷體"/>
          <w:sz w:val="28"/>
        </w:rPr>
        <w:t>退休時任職年資少於退休年度適用之計算年數者，按退休審定任職年資計算。</w:t>
      </w:r>
    </w:p>
    <w:p w:rsidR="00695668" w:rsidRDefault="007A5D44">
      <w:pPr>
        <w:pStyle w:val="Standard"/>
        <w:tabs>
          <w:tab w:val="left" w:pos="3527"/>
        </w:tabs>
        <w:wordWrap/>
        <w:overflowPunct/>
        <w:spacing w:line="460" w:lineRule="exact"/>
        <w:ind w:left="1400" w:right="42" w:hanging="1400"/>
      </w:pPr>
      <w:r>
        <w:rPr>
          <w:rFonts w:eastAsia="標楷體"/>
          <w:sz w:val="28"/>
        </w:rPr>
        <w:t>第三十二條</w:t>
      </w:r>
      <w:r>
        <w:rPr>
          <w:rFonts w:eastAsia="Times New Roman"/>
          <w:sz w:val="28"/>
        </w:rPr>
        <w:t xml:space="preserve">　　</w:t>
      </w:r>
      <w:r>
        <w:rPr>
          <w:rFonts w:eastAsia="標楷體"/>
          <w:sz w:val="28"/>
        </w:rPr>
        <w:t>本條例第三十二條第四項第三款所稱提前於年滿月退休金起支年齡前，開始領取月退休金，指辦理自願退休者，因未達本條例第三十二條第一項至第三項所定月退休金起支年</w:t>
      </w:r>
      <w:r>
        <w:rPr>
          <w:rFonts w:eastAsia="標楷體"/>
          <w:sz w:val="28"/>
        </w:rPr>
        <w:lastRenderedPageBreak/>
        <w:t>齡，提前自退休生效日起，支領減發之月退休金（以下簡稱減額月退休金）。</w:t>
      </w:r>
    </w:p>
    <w:p w:rsidR="00695668" w:rsidRDefault="007A5D44">
      <w:pPr>
        <w:pStyle w:val="Standard"/>
        <w:wordWrap/>
        <w:overflowPunct/>
        <w:spacing w:line="460" w:lineRule="exact"/>
        <w:ind w:left="1418" w:right="42" w:firstLine="630"/>
        <w:rPr>
          <w:rFonts w:eastAsia="標楷體"/>
          <w:sz w:val="28"/>
        </w:rPr>
      </w:pPr>
      <w:r>
        <w:rPr>
          <w:rFonts w:eastAsia="標楷體"/>
          <w:sz w:val="28"/>
        </w:rPr>
        <w:t>依前項規定擇領減額月退休金者，按其年滿退休生效時適用之月退休金起支年齡前一日，往前逆算至退休生效日之提前年數，每提前一年，減發全額月退休金百分之四；最</w:t>
      </w:r>
      <w:r>
        <w:rPr>
          <w:rFonts w:eastAsia="標楷體"/>
          <w:sz w:val="28"/>
        </w:rPr>
        <w:t>多得提前五年，減發全額月退休金百分之二十。提前五年之年數依曆計算；未滿一年之畸零月數，按所占比率計算；畸零日數得合併計算，並以三十日折算一個月；不足三十日之畸零日數，以一個月計。提前年數逾五年者，不得擇領減額月退休金。</w:t>
      </w:r>
    </w:p>
    <w:p w:rsidR="00695668" w:rsidRDefault="007A5D44">
      <w:pPr>
        <w:pStyle w:val="Standard"/>
        <w:wordWrap/>
        <w:overflowPunct/>
        <w:spacing w:line="460" w:lineRule="exact"/>
        <w:ind w:left="1418" w:right="42" w:firstLine="630"/>
        <w:rPr>
          <w:rFonts w:eastAsia="標楷體"/>
          <w:sz w:val="28"/>
        </w:rPr>
      </w:pPr>
      <w:r>
        <w:rPr>
          <w:rFonts w:eastAsia="標楷體"/>
          <w:sz w:val="28"/>
        </w:rPr>
        <w:t>前項減額月退休金應減發之金額，先依本條例第二十八條至第三十條規定計算全額月退休金數額後，再按提前之年數及減額比率，按月減發月退休金且終身減發。</w:t>
      </w:r>
    </w:p>
    <w:p w:rsidR="00695668" w:rsidRDefault="007A5D44">
      <w:pPr>
        <w:pStyle w:val="Standard"/>
        <w:tabs>
          <w:tab w:val="left" w:pos="3527"/>
        </w:tabs>
        <w:wordWrap/>
        <w:overflowPunct/>
        <w:spacing w:line="460" w:lineRule="exact"/>
        <w:ind w:left="1400" w:right="42" w:hanging="1400"/>
      </w:pPr>
      <w:r>
        <w:rPr>
          <w:rFonts w:eastAsia="標楷體"/>
          <w:sz w:val="28"/>
        </w:rPr>
        <w:t>第三十四條</w:t>
      </w:r>
      <w:r>
        <w:rPr>
          <w:rFonts w:eastAsia="Times New Roman"/>
          <w:sz w:val="28"/>
        </w:rPr>
        <w:t xml:space="preserve">　　</w:t>
      </w:r>
      <w:r>
        <w:rPr>
          <w:rFonts w:eastAsia="標楷體"/>
          <w:sz w:val="28"/>
        </w:rPr>
        <w:t>本條例第三十四條第一項所稱退休教職員因兼具退撫新制實施前、後年資而得依原學校教職員退休條例第二十一條之一第五項及第六項規定核發補償金者</w:t>
      </w:r>
      <w:r>
        <w:rPr>
          <w:rFonts w:eastAsia="標楷體"/>
          <w:sz w:val="28"/>
        </w:rPr>
        <w:t>，於本條例施行之日起一年內退休生效時，仍依原規定核發，指教職員因兼具退撫新制實施前、後年資而於中華民國一百零七年七月一日起一年內退休生效，且符合原學校教職員退休條例第二十一條之一第五項及第六項規定者，得依該規定加發補償金。</w:t>
      </w:r>
    </w:p>
    <w:p w:rsidR="00695668" w:rsidRDefault="007A5D44">
      <w:pPr>
        <w:pStyle w:val="Standard"/>
        <w:wordWrap/>
        <w:overflowPunct/>
        <w:spacing w:line="460" w:lineRule="exact"/>
        <w:ind w:left="1418" w:right="42" w:firstLine="630"/>
        <w:rPr>
          <w:rFonts w:eastAsia="標楷體"/>
          <w:sz w:val="28"/>
        </w:rPr>
      </w:pPr>
      <w:r>
        <w:rPr>
          <w:rFonts w:eastAsia="標楷體"/>
          <w:sz w:val="28"/>
        </w:rPr>
        <w:t>前項補償金依附表三及本條例第二十八條所定退休金計算基準計算之。兼領一次退休金與月退休金教職員，按兼領月退休金比率計算之。</w:t>
      </w:r>
    </w:p>
    <w:p w:rsidR="00695668" w:rsidRDefault="007A5D44">
      <w:pPr>
        <w:pStyle w:val="Standard"/>
        <w:wordWrap/>
        <w:overflowPunct/>
        <w:spacing w:line="460" w:lineRule="exact"/>
        <w:ind w:left="1418" w:right="42" w:firstLine="630"/>
        <w:rPr>
          <w:rFonts w:eastAsia="標楷體"/>
          <w:sz w:val="28"/>
        </w:rPr>
      </w:pPr>
      <w:r>
        <w:rPr>
          <w:rFonts w:eastAsia="標楷體"/>
          <w:sz w:val="28"/>
        </w:rPr>
        <w:t>第一項教職員曾支領由政府編列預算或退撫基金支付退離給與之年資，於重行退休時，其已領取給與之年資應與重行退休審定之年資合併計算後，再依原學校教職員退休條例第二十一條之一</w:t>
      </w:r>
      <w:r>
        <w:rPr>
          <w:rFonts w:eastAsia="標楷體"/>
          <w:sz w:val="28"/>
        </w:rPr>
        <w:t>第五項及第六項規定，發給補償金。</w:t>
      </w:r>
    </w:p>
    <w:p w:rsidR="00695668" w:rsidRDefault="007A5D44">
      <w:pPr>
        <w:pStyle w:val="Standard"/>
        <w:wordWrap/>
        <w:overflowPunct/>
        <w:spacing w:line="460" w:lineRule="exact"/>
        <w:ind w:left="1418" w:right="42" w:firstLine="630"/>
        <w:rPr>
          <w:rFonts w:eastAsia="標楷體"/>
          <w:sz w:val="28"/>
        </w:rPr>
      </w:pPr>
      <w:r>
        <w:rPr>
          <w:rFonts w:eastAsia="標楷體"/>
          <w:sz w:val="28"/>
        </w:rPr>
        <w:t>第一項教職員擇領或兼領展期月退休金者，依本條例第三十四條第一項規定支領之補償金，應至年滿月退休金起支年齡之日起，開始領取全額月退休金時，再行發給。</w:t>
      </w:r>
    </w:p>
    <w:p w:rsidR="00695668" w:rsidRDefault="007A5D44">
      <w:pPr>
        <w:pStyle w:val="Standard"/>
        <w:wordWrap/>
        <w:overflowPunct/>
        <w:spacing w:line="460" w:lineRule="exact"/>
        <w:ind w:left="1418" w:right="42" w:firstLine="630"/>
        <w:rPr>
          <w:rFonts w:eastAsia="標楷體"/>
          <w:sz w:val="28"/>
        </w:rPr>
      </w:pPr>
      <w:r>
        <w:rPr>
          <w:rFonts w:eastAsia="標楷體"/>
          <w:sz w:val="28"/>
        </w:rPr>
        <w:t>中華民國一百零七年六月三十日以前已退休並依原學校教職員退休條例第二十一條之一第五項規定領取月補償金教職員，由主管機關依本條例第三十四條第三項規定，按其退休年資、等級及退休時適用之規定，計算其應領之一次補償金後，扣除本條例施行前已領及本條例施行後仍得領取之月補償金金額合計數而有餘額者，一次補發其餘額。但依本條例第三十七條規定調降每</w:t>
      </w:r>
      <w:r>
        <w:rPr>
          <w:rFonts w:eastAsia="標楷體"/>
          <w:sz w:val="28"/>
        </w:rPr>
        <w:t>月退休所得，且於一百十八年一月一日以後，仍得繼續領取全部或部分月補償金者，不予補發。</w:t>
      </w:r>
    </w:p>
    <w:p w:rsidR="00695668" w:rsidRDefault="007A5D44">
      <w:pPr>
        <w:pStyle w:val="Standard"/>
        <w:wordWrap/>
        <w:overflowPunct/>
        <w:spacing w:line="460" w:lineRule="exact"/>
        <w:ind w:left="1418" w:right="42" w:firstLine="630"/>
        <w:rPr>
          <w:rFonts w:eastAsia="標楷體"/>
          <w:sz w:val="28"/>
        </w:rPr>
      </w:pPr>
      <w:r>
        <w:rPr>
          <w:rFonts w:eastAsia="標楷體"/>
          <w:sz w:val="28"/>
        </w:rPr>
        <w:t>前項教職員因本條例第七十六條及第七十七條規定停止領受月退休金權利者，俟其停止原因消滅恢復領受月退休金時，再由主管機關依前項規定辦理。</w:t>
      </w:r>
    </w:p>
    <w:p w:rsidR="00695668" w:rsidRDefault="007A5D44">
      <w:pPr>
        <w:pStyle w:val="Standard"/>
        <w:wordWrap/>
        <w:overflowPunct/>
        <w:spacing w:line="460" w:lineRule="exact"/>
        <w:ind w:left="1418" w:right="42" w:firstLine="630"/>
        <w:rPr>
          <w:rFonts w:eastAsia="標楷體"/>
          <w:sz w:val="28"/>
        </w:rPr>
      </w:pPr>
      <w:r>
        <w:rPr>
          <w:rFonts w:eastAsia="標楷體"/>
          <w:sz w:val="28"/>
        </w:rPr>
        <w:t>第五項教職員依本條例第三十九條第一項第二款規定扣減退撫新制實施前年資所計得之月退休金（包括月補償金）時，依序先扣減月補償金，再扣減退撫新制實施前年資所計得之月退休金。</w:t>
      </w:r>
    </w:p>
    <w:p w:rsidR="00695668" w:rsidRDefault="007A5D44">
      <w:pPr>
        <w:pStyle w:val="Standard"/>
        <w:tabs>
          <w:tab w:val="left" w:pos="3527"/>
        </w:tabs>
        <w:wordWrap/>
        <w:overflowPunct/>
        <w:spacing w:line="460" w:lineRule="exact"/>
        <w:ind w:left="1400" w:right="42" w:hanging="1400"/>
      </w:pPr>
      <w:r>
        <w:rPr>
          <w:rFonts w:eastAsia="標楷體"/>
          <w:sz w:val="28"/>
        </w:rPr>
        <w:t>第四十一條</w:t>
      </w:r>
      <w:r>
        <w:rPr>
          <w:rFonts w:eastAsia="Times New Roman"/>
          <w:sz w:val="28"/>
        </w:rPr>
        <w:t xml:space="preserve">　　</w:t>
      </w:r>
      <w:r>
        <w:rPr>
          <w:rFonts w:eastAsia="標楷體"/>
          <w:sz w:val="28"/>
        </w:rPr>
        <w:t>退離教職員犯同一案件，經依本條例第七十九條第一項規定，剝奪或減少退離（職）相關給與後，復因移送懲戒而經懲戒法院</w:t>
      </w:r>
      <w:r>
        <w:rPr>
          <w:rFonts w:eastAsia="標楷體"/>
          <w:sz w:val="28"/>
        </w:rPr>
        <w:t>為剝奪或減少退休（職、伍）金處分之懲戒判決確定者，於依本條例已剝奪或減少之範圍內，該部分執行不受影響。</w:t>
      </w:r>
    </w:p>
    <w:p w:rsidR="00695668" w:rsidRDefault="007A5D44">
      <w:pPr>
        <w:pStyle w:val="Standard"/>
        <w:wordWrap/>
        <w:overflowPunct/>
        <w:spacing w:line="460" w:lineRule="exact"/>
        <w:ind w:left="1418" w:right="42" w:firstLine="630"/>
        <w:rPr>
          <w:rFonts w:eastAsia="標楷體"/>
          <w:sz w:val="28"/>
        </w:rPr>
      </w:pPr>
      <w:r>
        <w:rPr>
          <w:rFonts w:eastAsia="標楷體"/>
          <w:sz w:val="28"/>
        </w:rPr>
        <w:t>退離教職員犯同一案件，經懲戒法院為剝奪或減少退休（職、伍）金處分之懲戒判決確定後，又依本條例第七十九條第一項規定剝奪或減少退離（職）相關給與者，其已依懲戒判決確定剝奪或減少之退休金，於依本條例第七十九條第一項規定所為之剝奪或減少退離（職）相關給與處分，不再重複執行。</w:t>
      </w:r>
    </w:p>
    <w:p w:rsidR="00695668" w:rsidRDefault="007A5D44">
      <w:pPr>
        <w:pStyle w:val="Standard"/>
        <w:tabs>
          <w:tab w:val="left" w:pos="3527"/>
        </w:tabs>
        <w:wordWrap/>
        <w:overflowPunct/>
        <w:spacing w:line="460" w:lineRule="exact"/>
        <w:ind w:left="1400" w:right="42" w:hanging="1400"/>
      </w:pPr>
      <w:r>
        <w:rPr>
          <w:rFonts w:eastAsia="標楷體"/>
          <w:sz w:val="28"/>
        </w:rPr>
        <w:t>第四十六條</w:t>
      </w:r>
      <w:r>
        <w:rPr>
          <w:rFonts w:eastAsia="Times New Roman"/>
          <w:sz w:val="28"/>
        </w:rPr>
        <w:t xml:space="preserve">　　</w:t>
      </w:r>
      <w:r>
        <w:rPr>
          <w:rFonts w:eastAsia="標楷體"/>
          <w:sz w:val="28"/>
        </w:rPr>
        <w:t>各學校受理涉案或涉有違失行為之所屬教師、研究人員、專業技術人員、專業及技術教師、專任運動教練及新制助教退休或資遣案時，應依下列</w:t>
      </w:r>
      <w:r>
        <w:rPr>
          <w:rFonts w:eastAsia="標楷體"/>
          <w:sz w:val="28"/>
        </w:rPr>
        <w:t>規定辦理：</w:t>
      </w:r>
    </w:p>
    <w:p w:rsidR="00695668" w:rsidRDefault="007A5D44">
      <w:pPr>
        <w:pStyle w:val="Standard"/>
        <w:numPr>
          <w:ilvl w:val="0"/>
          <w:numId w:val="18"/>
        </w:numPr>
        <w:wordWrap/>
        <w:overflowPunct/>
        <w:spacing w:line="460" w:lineRule="exact"/>
        <w:ind w:left="2608" w:right="42" w:hanging="560"/>
        <w:rPr>
          <w:rFonts w:eastAsia="標楷體"/>
          <w:sz w:val="28"/>
        </w:rPr>
      </w:pPr>
      <w:r>
        <w:rPr>
          <w:rFonts w:eastAsia="標楷體"/>
          <w:sz w:val="28"/>
        </w:rPr>
        <w:t>召開教師評審委員會、教練評審委員會、性別平等教育委員會或依法令組成之相關委員會，就其涉案或違失情節，詳慎審酌是否應依法令作成解聘、停聘或不續聘之決議後，循程序報請主管機關核准；或依公務員懲戒法規定，移送懲戒或送請監察院審查，以及應否依相關法律核予停職或免職。</w:t>
      </w:r>
    </w:p>
    <w:p w:rsidR="00695668" w:rsidRDefault="007A5D44">
      <w:pPr>
        <w:pStyle w:val="Standard"/>
        <w:numPr>
          <w:ilvl w:val="0"/>
          <w:numId w:val="14"/>
        </w:numPr>
        <w:wordWrap/>
        <w:overflowPunct/>
        <w:spacing w:line="460" w:lineRule="exact"/>
        <w:ind w:left="2608" w:right="42" w:hanging="560"/>
        <w:rPr>
          <w:rFonts w:eastAsia="標楷體"/>
          <w:sz w:val="28"/>
        </w:rPr>
      </w:pPr>
      <w:r>
        <w:rPr>
          <w:rFonts w:eastAsia="標楷體"/>
          <w:sz w:val="28"/>
        </w:rPr>
        <w:t>經召開教師評審委員會、教練評審委員會、性別平等教育委員會或依法令組成之相關委員會審酌後，認為有須依法令作成解聘、停聘或不續聘之決議或依公務員懲戒法規定移送懲戒或送請監察院審查而不同意受理其申請退休或資遣時，應書面通知當事人並敘明理由；如認無</w:t>
      </w:r>
      <w:r>
        <w:rPr>
          <w:rFonts w:eastAsia="標楷體"/>
          <w:sz w:val="28"/>
        </w:rPr>
        <w:t>須依法令作成解聘、停聘或不續聘之決議或依公務員懲戒法規定移送懲戒或送請監察院審查而仍同意受理其申請退休或資遣時，應於彙送主管機關之函內，敘明理由並檢同相關審查資料，以明責任。</w:t>
      </w:r>
    </w:p>
    <w:p w:rsidR="00695668" w:rsidRDefault="007A5D44">
      <w:pPr>
        <w:pStyle w:val="Standard"/>
        <w:numPr>
          <w:ilvl w:val="0"/>
          <w:numId w:val="14"/>
        </w:numPr>
        <w:wordWrap/>
        <w:overflowPunct/>
        <w:spacing w:line="460" w:lineRule="exact"/>
        <w:ind w:left="2608" w:right="42" w:hanging="560"/>
        <w:rPr>
          <w:rFonts w:eastAsia="標楷體"/>
          <w:sz w:val="28"/>
        </w:rPr>
      </w:pPr>
      <w:r>
        <w:rPr>
          <w:rFonts w:eastAsia="標楷體"/>
          <w:sz w:val="28"/>
        </w:rPr>
        <w:t>前二款規定之處理期間，依行政程序法第五十一條規定辦理。</w:t>
      </w:r>
    </w:p>
    <w:p w:rsidR="00695668" w:rsidRDefault="007A5D44">
      <w:pPr>
        <w:pStyle w:val="Standard"/>
        <w:wordWrap/>
        <w:overflowPunct/>
        <w:spacing w:line="460" w:lineRule="exact"/>
        <w:ind w:left="1418" w:right="42" w:firstLine="630"/>
        <w:rPr>
          <w:rFonts w:eastAsia="標楷體"/>
          <w:sz w:val="28"/>
        </w:rPr>
      </w:pPr>
      <w:r>
        <w:rPr>
          <w:rFonts w:eastAsia="標楷體"/>
          <w:sz w:val="28"/>
        </w:rPr>
        <w:t>現任校長涉案或涉有違失行為，其於申請自願退休或資遣時，應由主管機關依教育人員任用條例及公務員懲戒法等規定辦理。</w:t>
      </w:r>
    </w:p>
    <w:p w:rsidR="00695668" w:rsidRDefault="007A5D44">
      <w:pPr>
        <w:pStyle w:val="Standard"/>
        <w:wordWrap/>
        <w:overflowPunct/>
        <w:spacing w:line="460" w:lineRule="exact"/>
        <w:ind w:left="1418" w:right="42" w:firstLine="630"/>
        <w:rPr>
          <w:rFonts w:eastAsia="標楷體"/>
          <w:sz w:val="28"/>
        </w:rPr>
      </w:pPr>
      <w:r>
        <w:rPr>
          <w:rFonts w:eastAsia="標楷體"/>
          <w:sz w:val="28"/>
        </w:rPr>
        <w:t>涉案或涉有違失行為之職員及稀少性科技人員之退休或資遣案處理程序，比照公務人員之程序辦理。</w:t>
      </w:r>
    </w:p>
    <w:p w:rsidR="00695668" w:rsidRDefault="007A5D44">
      <w:pPr>
        <w:pStyle w:val="Standard"/>
        <w:tabs>
          <w:tab w:val="left" w:pos="3527"/>
        </w:tabs>
        <w:wordWrap/>
        <w:overflowPunct/>
        <w:spacing w:line="460" w:lineRule="exact"/>
        <w:ind w:left="1400" w:right="42" w:hanging="1400"/>
      </w:pPr>
      <w:r>
        <w:rPr>
          <w:rFonts w:eastAsia="標楷體"/>
          <w:sz w:val="28"/>
        </w:rPr>
        <w:t>第四十七條</w:t>
      </w:r>
      <w:r>
        <w:rPr>
          <w:rFonts w:eastAsia="Times New Roman"/>
          <w:sz w:val="28"/>
        </w:rPr>
        <w:t xml:space="preserve">　　</w:t>
      </w:r>
      <w:r>
        <w:rPr>
          <w:rFonts w:eastAsia="標楷體"/>
          <w:sz w:val="28"/>
        </w:rPr>
        <w:t>本條例第二十六條第一項所定原因消滅日，規定如下：</w:t>
      </w:r>
    </w:p>
    <w:p w:rsidR="00695668" w:rsidRDefault="007A5D44">
      <w:pPr>
        <w:pStyle w:val="Standard"/>
        <w:numPr>
          <w:ilvl w:val="0"/>
          <w:numId w:val="19"/>
        </w:numPr>
        <w:wordWrap/>
        <w:overflowPunct/>
        <w:spacing w:line="460" w:lineRule="exact"/>
        <w:ind w:left="2608" w:right="42" w:hanging="560"/>
        <w:rPr>
          <w:rFonts w:eastAsia="標楷體"/>
          <w:sz w:val="28"/>
        </w:rPr>
      </w:pPr>
      <w:r>
        <w:rPr>
          <w:rFonts w:eastAsia="標楷體"/>
          <w:sz w:val="28"/>
        </w:rPr>
        <w:t>依法停職或停聘者，指其停職或停聘事由消滅之日。</w:t>
      </w:r>
    </w:p>
    <w:p w:rsidR="00695668" w:rsidRDefault="007A5D44">
      <w:pPr>
        <w:pStyle w:val="Standard"/>
        <w:numPr>
          <w:ilvl w:val="0"/>
          <w:numId w:val="10"/>
        </w:numPr>
        <w:wordWrap/>
        <w:overflowPunct/>
        <w:spacing w:line="460" w:lineRule="exact"/>
        <w:ind w:left="2608" w:right="42" w:hanging="560"/>
        <w:rPr>
          <w:rFonts w:eastAsia="標楷體"/>
          <w:sz w:val="28"/>
        </w:rPr>
      </w:pPr>
      <w:r>
        <w:rPr>
          <w:rFonts w:eastAsia="標楷體"/>
          <w:sz w:val="28"/>
        </w:rPr>
        <w:t>依法休職者，指其休職期限屆滿，依法申請復職並經權責機關核准復職之日。</w:t>
      </w:r>
    </w:p>
    <w:p w:rsidR="00695668" w:rsidRDefault="007A5D44">
      <w:pPr>
        <w:pStyle w:val="Standard"/>
        <w:numPr>
          <w:ilvl w:val="0"/>
          <w:numId w:val="10"/>
        </w:numPr>
        <w:wordWrap/>
        <w:overflowPunct/>
        <w:spacing w:line="460" w:lineRule="exact"/>
        <w:ind w:left="2608" w:right="42" w:hanging="560"/>
        <w:rPr>
          <w:rFonts w:eastAsia="標楷體"/>
          <w:sz w:val="28"/>
        </w:rPr>
      </w:pPr>
      <w:r>
        <w:rPr>
          <w:rFonts w:eastAsia="標楷體"/>
          <w:sz w:val="28"/>
        </w:rPr>
        <w:t>學校或主管機關依法辦理其停聘、解聘或不續聘者，指其所涉案件經學校或主管機關依法審認最終結果確定之日。</w:t>
      </w:r>
    </w:p>
    <w:p w:rsidR="00695668" w:rsidRDefault="007A5D44">
      <w:pPr>
        <w:pStyle w:val="Standard"/>
        <w:numPr>
          <w:ilvl w:val="0"/>
          <w:numId w:val="10"/>
        </w:numPr>
        <w:wordWrap/>
        <w:overflowPunct/>
        <w:spacing w:line="460" w:lineRule="exact"/>
        <w:ind w:left="2608" w:right="42" w:hanging="560"/>
        <w:rPr>
          <w:rFonts w:eastAsia="標楷體"/>
          <w:sz w:val="28"/>
        </w:rPr>
      </w:pPr>
      <w:r>
        <w:rPr>
          <w:rFonts w:eastAsia="標楷體"/>
          <w:sz w:val="28"/>
        </w:rPr>
        <w:t>動員戡亂時期終止後，涉嫌內亂罪或外患罪者，指其所涉案件經判決確定之日，或不起訴處分確定之日，或緩起訴處分期滿未經撤銷之日。</w:t>
      </w:r>
    </w:p>
    <w:p w:rsidR="00695668" w:rsidRDefault="007A5D44">
      <w:pPr>
        <w:pStyle w:val="Standard"/>
        <w:numPr>
          <w:ilvl w:val="0"/>
          <w:numId w:val="10"/>
        </w:numPr>
        <w:wordWrap/>
        <w:overflowPunct/>
        <w:spacing w:line="460" w:lineRule="exact"/>
        <w:ind w:left="2608" w:right="42" w:hanging="560"/>
        <w:rPr>
          <w:rFonts w:eastAsia="標楷體"/>
          <w:sz w:val="28"/>
        </w:rPr>
      </w:pPr>
      <w:r>
        <w:rPr>
          <w:rFonts w:eastAsia="標楷體"/>
          <w:sz w:val="28"/>
        </w:rPr>
        <w:t>涉嫌貪瀆罪者，指其所涉案件經判決確定之日。</w:t>
      </w:r>
    </w:p>
    <w:p w:rsidR="00695668" w:rsidRDefault="007A5D44">
      <w:pPr>
        <w:pStyle w:val="Standard"/>
        <w:numPr>
          <w:ilvl w:val="0"/>
          <w:numId w:val="10"/>
        </w:numPr>
        <w:wordWrap/>
        <w:overflowPunct/>
        <w:spacing w:line="460" w:lineRule="exact"/>
        <w:ind w:left="2608" w:right="42" w:hanging="560"/>
        <w:rPr>
          <w:rFonts w:eastAsia="標楷體"/>
          <w:sz w:val="28"/>
        </w:rPr>
      </w:pPr>
      <w:r>
        <w:rPr>
          <w:rFonts w:eastAsia="標楷體"/>
          <w:sz w:val="28"/>
        </w:rPr>
        <w:t>依法移送懲戒或送請監察院審查者，指其經懲戒法院判決確定之日，或經監察院審查決定不予彈劾確定之日。</w:t>
      </w:r>
    </w:p>
    <w:p w:rsidR="00695668" w:rsidRDefault="007A5D44">
      <w:pPr>
        <w:pStyle w:val="Standard"/>
        <w:wordWrap/>
        <w:overflowPunct/>
        <w:spacing w:line="460" w:lineRule="exact"/>
        <w:ind w:left="1418" w:right="42" w:firstLine="630"/>
        <w:rPr>
          <w:rFonts w:eastAsia="標楷體"/>
          <w:sz w:val="28"/>
        </w:rPr>
      </w:pPr>
      <w:r>
        <w:rPr>
          <w:rFonts w:eastAsia="標楷體"/>
          <w:sz w:val="28"/>
        </w:rPr>
        <w:t>本條例第二十五條第一項第三款教職員依本條例第二十六條第二項規定，以其原因消滅並經權責機關核准復職之日為退休生效日，向原服務學校申請辦理退休時，其自應屆齡退休之至遲生效日至實際退休生效日前一日止之年資，依本條例第二十條所定屆齡教職員應予退休之意旨，不得採計為教職員退休年資。</w:t>
      </w:r>
    </w:p>
    <w:p w:rsidR="00695668" w:rsidRDefault="007A5D44">
      <w:pPr>
        <w:pStyle w:val="Standard"/>
        <w:wordWrap/>
        <w:overflowPunct/>
        <w:spacing w:line="460" w:lineRule="exact"/>
        <w:ind w:left="1418" w:right="42" w:firstLine="630"/>
        <w:rPr>
          <w:rFonts w:eastAsia="標楷體"/>
          <w:sz w:val="28"/>
        </w:rPr>
      </w:pPr>
      <w:r>
        <w:rPr>
          <w:rFonts w:eastAsia="標楷體"/>
          <w:sz w:val="28"/>
        </w:rPr>
        <w:t>檢察機關對於涉嫌內亂罪或外患罪之教職員進行偵查時，於不違反偵查不公開原則下，得函知該教職員之服務學校及主管機關。</w:t>
      </w:r>
    </w:p>
    <w:p w:rsidR="00695668" w:rsidRDefault="007A5D44">
      <w:pPr>
        <w:pStyle w:val="Standard"/>
        <w:wordWrap/>
        <w:overflowPunct/>
        <w:spacing w:line="460" w:lineRule="exact"/>
        <w:ind w:left="1418" w:right="42" w:firstLine="630"/>
        <w:rPr>
          <w:rFonts w:eastAsia="標楷體"/>
          <w:sz w:val="28"/>
        </w:rPr>
      </w:pPr>
      <w:r>
        <w:rPr>
          <w:rFonts w:eastAsia="標楷體"/>
          <w:sz w:val="28"/>
        </w:rPr>
        <w:t>教職員犯貪瀆罪或假借職務上之權力、機會或方法犯其他罪，經法院判處有期徒刑以上之刑時，由判決法院檢同判決正本一份，分送該教職員</w:t>
      </w:r>
      <w:r>
        <w:rPr>
          <w:rFonts w:eastAsia="標楷體"/>
          <w:sz w:val="28"/>
        </w:rPr>
        <w:t>之服務學校及主管機關。</w:t>
      </w:r>
    </w:p>
    <w:p w:rsidR="00695668" w:rsidRDefault="007A5D44">
      <w:pPr>
        <w:pStyle w:val="Standard"/>
        <w:tabs>
          <w:tab w:val="left" w:pos="3527"/>
        </w:tabs>
        <w:wordWrap/>
        <w:overflowPunct/>
        <w:spacing w:line="460" w:lineRule="exact"/>
        <w:ind w:left="1400" w:right="42" w:hanging="1400"/>
      </w:pPr>
      <w:r>
        <w:rPr>
          <w:rFonts w:eastAsia="標楷體"/>
          <w:sz w:val="28"/>
        </w:rPr>
        <w:t>第五十七條</w:t>
      </w:r>
      <w:r>
        <w:rPr>
          <w:rFonts w:eastAsia="Times New Roman"/>
          <w:sz w:val="28"/>
        </w:rPr>
        <w:t xml:space="preserve">　　</w:t>
      </w:r>
      <w:r>
        <w:rPr>
          <w:rFonts w:eastAsia="標楷體"/>
          <w:sz w:val="28"/>
        </w:rPr>
        <w:t>退休教職員經懲戒法院判決減少退休金懲戒處分確定者，或依本條例第七十九條第一項第二款至第四款規定，按應扣減比率減少退休金者，其遺族領取之遺屬一次金或遺屬年金，應按相同扣減比率計給。</w:t>
      </w:r>
    </w:p>
    <w:p w:rsidR="00695668" w:rsidRDefault="007A5D44">
      <w:pPr>
        <w:pStyle w:val="Standard"/>
        <w:wordWrap/>
        <w:overflowPunct/>
        <w:spacing w:line="460" w:lineRule="exact"/>
        <w:ind w:left="1418" w:right="42" w:firstLine="630"/>
        <w:rPr>
          <w:rFonts w:eastAsia="標楷體"/>
          <w:sz w:val="28"/>
        </w:rPr>
      </w:pPr>
      <w:r>
        <w:rPr>
          <w:rFonts w:eastAsia="標楷體"/>
          <w:sz w:val="28"/>
        </w:rPr>
        <w:t>本條例第七十九條第一項教職員受緩刑宣告而於緩刑期間亡故者，其遺族領取遺屬一次金或遺屬年金，按未扣減比率計給。</w:t>
      </w:r>
    </w:p>
    <w:p w:rsidR="00695668" w:rsidRDefault="007A5D44">
      <w:pPr>
        <w:pStyle w:val="Standard"/>
        <w:tabs>
          <w:tab w:val="left" w:pos="3527"/>
        </w:tabs>
        <w:wordWrap/>
        <w:overflowPunct/>
        <w:spacing w:line="460" w:lineRule="exact"/>
        <w:ind w:left="1400" w:right="42" w:hanging="1400"/>
      </w:pPr>
      <w:r>
        <w:rPr>
          <w:rFonts w:eastAsia="標楷體"/>
          <w:sz w:val="28"/>
        </w:rPr>
        <w:t>第六十一條</w:t>
      </w:r>
      <w:r>
        <w:rPr>
          <w:rFonts w:eastAsia="Times New Roman"/>
          <w:sz w:val="28"/>
        </w:rPr>
        <w:t xml:space="preserve">　　</w:t>
      </w:r>
      <w:r>
        <w:rPr>
          <w:rFonts w:eastAsia="標楷體"/>
          <w:sz w:val="28"/>
        </w:rPr>
        <w:t>本條例第四十五條第四項所稱遺族領有依本條例或其他法令規定核給之退休金、撫卹金、優存利息或其他由政府預算、公營事業機構支給相當於退離給與之定期性給付，指遺族領有下列給付：</w:t>
      </w:r>
    </w:p>
    <w:p w:rsidR="00695668" w:rsidRDefault="007A5D44">
      <w:pPr>
        <w:pStyle w:val="Standard"/>
        <w:numPr>
          <w:ilvl w:val="0"/>
          <w:numId w:val="20"/>
        </w:numPr>
        <w:wordWrap/>
        <w:overflowPunct/>
        <w:spacing w:line="460" w:lineRule="exact"/>
        <w:ind w:left="2608" w:right="42" w:hanging="560"/>
        <w:rPr>
          <w:rFonts w:eastAsia="標楷體"/>
          <w:sz w:val="28"/>
        </w:rPr>
      </w:pPr>
      <w:r>
        <w:rPr>
          <w:rFonts w:eastAsia="標楷體"/>
          <w:sz w:val="28"/>
        </w:rPr>
        <w:t>依本條例核給之月退休金、遺屬年金、月撫卹金及優存利息。</w:t>
      </w:r>
    </w:p>
    <w:p w:rsidR="00695668" w:rsidRDefault="007A5D44">
      <w:pPr>
        <w:pStyle w:val="Standard"/>
        <w:numPr>
          <w:ilvl w:val="0"/>
          <w:numId w:val="2"/>
        </w:numPr>
        <w:wordWrap/>
        <w:overflowPunct/>
        <w:spacing w:line="460" w:lineRule="exact"/>
        <w:ind w:left="2608" w:right="42" w:hanging="560"/>
        <w:rPr>
          <w:rFonts w:eastAsia="標楷體"/>
          <w:sz w:val="28"/>
        </w:rPr>
      </w:pPr>
      <w:r>
        <w:rPr>
          <w:rFonts w:eastAsia="標楷體"/>
          <w:sz w:val="28"/>
        </w:rPr>
        <w:t>政府機關（構）、公立學校、行政法人或公營事業（以下簡稱公部門），依其他退休（職、伍）、撫卹及年資結算法令或規章審（核）定，並由政府預算或公營事業機構支給定期且持續給付之退離給與。</w:t>
      </w:r>
    </w:p>
    <w:p w:rsidR="00695668" w:rsidRDefault="007A5D44">
      <w:pPr>
        <w:pStyle w:val="Standard"/>
        <w:tabs>
          <w:tab w:val="left" w:pos="3119"/>
        </w:tabs>
        <w:wordWrap/>
        <w:overflowPunct/>
        <w:spacing w:line="460" w:lineRule="exact"/>
        <w:ind w:left="1418" w:right="42" w:firstLine="630"/>
        <w:rPr>
          <w:rFonts w:eastAsia="標楷體"/>
          <w:sz w:val="28"/>
        </w:rPr>
      </w:pPr>
      <w:r>
        <w:rPr>
          <w:rFonts w:eastAsia="標楷體"/>
          <w:sz w:val="28"/>
        </w:rPr>
        <w:t>前項第二款所定之退離給與，不包括於公部門參加各類社會保險所支領之養老年金或老年年金，及依勞工退休金條例請領之月退休金。</w:t>
      </w:r>
    </w:p>
    <w:p w:rsidR="00695668" w:rsidRDefault="007A5D44">
      <w:pPr>
        <w:pStyle w:val="Standard"/>
        <w:wordWrap/>
        <w:overflowPunct/>
        <w:spacing w:line="460" w:lineRule="exact"/>
        <w:ind w:left="1680" w:right="42" w:hanging="1680"/>
      </w:pPr>
      <w:r>
        <w:rPr>
          <w:rFonts w:eastAsia="標楷體"/>
          <w:sz w:val="28"/>
        </w:rPr>
        <w:t>第一百零三條</w:t>
      </w:r>
      <w:r>
        <w:rPr>
          <w:rFonts w:eastAsia="Times New Roman"/>
          <w:sz w:val="28"/>
        </w:rPr>
        <w:t xml:space="preserve">　　</w:t>
      </w:r>
      <w:r>
        <w:rPr>
          <w:rFonts w:eastAsia="標楷體"/>
          <w:sz w:val="28"/>
        </w:rPr>
        <w:t>本條例第六十七條所定退休教職員或遺族所領月退休金、月撫卹金或遺屬年金給付金額之調整比率，應由中央主管機關會同國防部及銓敘部組成專業評估小組，</w:t>
      </w:r>
      <w:r>
        <w:rPr>
          <w:rFonts w:eastAsia="標楷體"/>
          <w:sz w:val="28"/>
        </w:rPr>
        <w:t>綜合考量國家經濟環境、政府財政與退撫基金準備率後，擬具評估報告或調整方案，報請行政院會同考試院核定公告。</w:t>
      </w:r>
    </w:p>
    <w:p w:rsidR="00695668" w:rsidRDefault="007A5D44">
      <w:pPr>
        <w:pStyle w:val="Standard"/>
        <w:tabs>
          <w:tab w:val="left" w:pos="3466"/>
        </w:tabs>
        <w:wordWrap/>
        <w:overflowPunct/>
        <w:spacing w:line="460" w:lineRule="exact"/>
        <w:ind w:left="1733" w:right="42" w:firstLine="630"/>
        <w:rPr>
          <w:rFonts w:eastAsia="標楷體"/>
          <w:sz w:val="28"/>
        </w:rPr>
      </w:pPr>
      <w:r>
        <w:rPr>
          <w:rFonts w:eastAsia="標楷體"/>
          <w:sz w:val="28"/>
        </w:rPr>
        <w:t>本條例第六十七條第一項所定消費者物價指數累計成長率，以中央主計機關公布之前一年一月至十二月止，共十二個月之平均消費者物價指數年度年增率累計計算，並計算至二位小數，以下四捨五入。</w:t>
      </w:r>
    </w:p>
    <w:p w:rsidR="00695668" w:rsidRDefault="007A5D44">
      <w:pPr>
        <w:pStyle w:val="Standard"/>
        <w:tabs>
          <w:tab w:val="left" w:pos="3466"/>
        </w:tabs>
        <w:wordWrap/>
        <w:overflowPunct/>
        <w:spacing w:line="460" w:lineRule="exact"/>
        <w:ind w:left="1733" w:right="42" w:firstLine="630"/>
        <w:rPr>
          <w:rFonts w:eastAsia="標楷體"/>
          <w:sz w:val="28"/>
        </w:rPr>
      </w:pPr>
      <w:r>
        <w:rPr>
          <w:rFonts w:eastAsia="標楷體"/>
          <w:sz w:val="28"/>
        </w:rPr>
        <w:t>前項所定消費者物價指數累計成長率達百分之五後，應自次年起，重新起算。本條例第六十七條第一項所定每四年期間，併同重新起算。</w:t>
      </w:r>
    </w:p>
    <w:p w:rsidR="00695668" w:rsidRDefault="007A5D44">
      <w:pPr>
        <w:pStyle w:val="Standard"/>
        <w:tabs>
          <w:tab w:val="left" w:pos="3466"/>
        </w:tabs>
        <w:wordWrap/>
        <w:overflowPunct/>
        <w:spacing w:line="460" w:lineRule="exact"/>
        <w:ind w:left="1733" w:right="42" w:firstLine="630"/>
        <w:rPr>
          <w:rFonts w:eastAsia="標楷體"/>
          <w:sz w:val="28"/>
        </w:rPr>
      </w:pPr>
      <w:r>
        <w:rPr>
          <w:rFonts w:eastAsia="標楷體"/>
          <w:sz w:val="28"/>
        </w:rPr>
        <w:t>第二項所定消費者物價指數累計成長率之計算，自中華民國一百零八年一月一日起算。</w:t>
      </w:r>
    </w:p>
    <w:p w:rsidR="00695668" w:rsidRDefault="007A5D44">
      <w:pPr>
        <w:pStyle w:val="Standard"/>
        <w:tabs>
          <w:tab w:val="left" w:pos="3466"/>
        </w:tabs>
        <w:wordWrap/>
        <w:overflowPunct/>
        <w:spacing w:line="460" w:lineRule="exact"/>
        <w:ind w:left="1733" w:right="42" w:firstLine="630"/>
        <w:rPr>
          <w:rFonts w:eastAsia="標楷體"/>
          <w:sz w:val="28"/>
        </w:rPr>
      </w:pPr>
      <w:r>
        <w:rPr>
          <w:rFonts w:eastAsia="標楷體"/>
          <w:sz w:val="28"/>
        </w:rPr>
        <w:t>本條例第六十七條第一項所定每</w:t>
      </w:r>
      <w:r>
        <w:rPr>
          <w:rFonts w:eastAsia="標楷體"/>
          <w:sz w:val="28"/>
        </w:rPr>
        <w:t>四年期間，自中華民國一百十一年七月一日起算。</w:t>
      </w:r>
    </w:p>
    <w:p w:rsidR="00695668" w:rsidRDefault="007A5D44">
      <w:pPr>
        <w:pStyle w:val="Standard"/>
        <w:wordWrap/>
        <w:overflowPunct/>
        <w:spacing w:line="460" w:lineRule="exact"/>
        <w:ind w:left="1680" w:right="42" w:hanging="1680"/>
      </w:pPr>
      <w:r>
        <w:rPr>
          <w:rFonts w:eastAsia="標楷體"/>
          <w:sz w:val="28"/>
        </w:rPr>
        <w:t>第一百零九條</w:t>
      </w:r>
      <w:r>
        <w:rPr>
          <w:rFonts w:eastAsia="Times New Roman"/>
          <w:sz w:val="28"/>
        </w:rPr>
        <w:t xml:space="preserve">　　</w:t>
      </w:r>
      <w:r>
        <w:rPr>
          <w:rFonts w:eastAsia="標楷體"/>
          <w:sz w:val="28"/>
        </w:rPr>
        <w:t>本條例第七十七條第一項第一款所稱職務，指由機關（構）、學校或團體直接僱用，並由政府預算支給薪酬之職務。</w:t>
      </w:r>
    </w:p>
    <w:p w:rsidR="00695668" w:rsidRDefault="007A5D44">
      <w:pPr>
        <w:pStyle w:val="Standard"/>
        <w:tabs>
          <w:tab w:val="left" w:pos="3466"/>
        </w:tabs>
        <w:wordWrap/>
        <w:overflowPunct/>
        <w:spacing w:line="460" w:lineRule="exact"/>
        <w:ind w:left="1733" w:right="42" w:firstLine="630"/>
        <w:rPr>
          <w:rFonts w:eastAsia="標楷體"/>
          <w:sz w:val="28"/>
        </w:rPr>
      </w:pPr>
      <w:r>
        <w:rPr>
          <w:rFonts w:eastAsia="標楷體"/>
          <w:sz w:val="28"/>
        </w:rPr>
        <w:t>本條例第七十七條第一項所稱每月支領薪酬總額，指每月因職務所固定或經常領取之薪金、俸給、工資、歲費或其他名義給與等各種薪酬收入之合計數。</w:t>
      </w:r>
    </w:p>
    <w:p w:rsidR="00695668" w:rsidRDefault="007A5D44">
      <w:pPr>
        <w:pStyle w:val="Standard"/>
        <w:tabs>
          <w:tab w:val="left" w:pos="3466"/>
        </w:tabs>
        <w:wordWrap/>
        <w:overflowPunct/>
        <w:spacing w:line="460" w:lineRule="exact"/>
        <w:ind w:left="1733" w:right="42" w:firstLine="630"/>
        <w:rPr>
          <w:rFonts w:eastAsia="標楷體"/>
          <w:sz w:val="28"/>
        </w:rPr>
      </w:pPr>
      <w:r>
        <w:rPr>
          <w:rFonts w:eastAsia="標楷體"/>
          <w:sz w:val="28"/>
        </w:rPr>
        <w:t>前項所定每月支領薪酬總額，於同時再任二個以上職務者，其個別職務每月所領薪酬收入，應合併計算之。</w:t>
      </w:r>
    </w:p>
    <w:p w:rsidR="00695668" w:rsidRDefault="007A5D44">
      <w:pPr>
        <w:pStyle w:val="Standard"/>
        <w:wordWrap/>
        <w:overflowPunct/>
        <w:spacing w:line="460" w:lineRule="exact"/>
        <w:ind w:left="1680" w:right="42" w:hanging="1680"/>
      </w:pPr>
      <w:r>
        <w:rPr>
          <w:rFonts w:eastAsia="標楷體"/>
          <w:sz w:val="28"/>
        </w:rPr>
        <w:t>第一百十一條</w:t>
      </w:r>
      <w:r>
        <w:rPr>
          <w:rFonts w:eastAsia="Times New Roman"/>
          <w:sz w:val="28"/>
        </w:rPr>
        <w:t xml:space="preserve">　　</w:t>
      </w:r>
      <w:r>
        <w:rPr>
          <w:rFonts w:eastAsia="標楷體"/>
          <w:sz w:val="28"/>
        </w:rPr>
        <w:t>（刪除）。</w:t>
      </w:r>
    </w:p>
    <w:p w:rsidR="00695668" w:rsidRDefault="007A5D44">
      <w:pPr>
        <w:pStyle w:val="Standard"/>
        <w:wordWrap/>
        <w:overflowPunct/>
        <w:spacing w:line="460" w:lineRule="exact"/>
        <w:ind w:left="1974" w:right="42" w:hanging="1974"/>
      </w:pPr>
      <w:r>
        <w:rPr>
          <w:rFonts w:eastAsia="標楷體"/>
          <w:sz w:val="28"/>
        </w:rPr>
        <w:t>第一百二十九條</w:t>
      </w:r>
      <w:r>
        <w:rPr>
          <w:rFonts w:eastAsia="Times New Roman"/>
          <w:sz w:val="28"/>
        </w:rPr>
        <w:t xml:space="preserve">　　</w:t>
      </w:r>
      <w:r>
        <w:rPr>
          <w:rFonts w:eastAsia="標楷體"/>
          <w:sz w:val="28"/>
        </w:rPr>
        <w:t>本細則除第七條及第一百零五條自中華民國一百零六年八月十一日施行外，其</w:t>
      </w:r>
      <w:r>
        <w:rPr>
          <w:rFonts w:eastAsia="標楷體"/>
          <w:sz w:val="28"/>
        </w:rPr>
        <w:t>餘條文自一百零七年七月一日施行。</w:t>
      </w:r>
    </w:p>
    <w:p w:rsidR="00695668" w:rsidRDefault="007A5D44">
      <w:pPr>
        <w:pStyle w:val="Standard"/>
        <w:wordWrap/>
        <w:overflowPunct/>
        <w:spacing w:line="460" w:lineRule="exact"/>
        <w:ind w:left="1943" w:right="42" w:firstLine="630"/>
        <w:rPr>
          <w:rFonts w:eastAsia="標楷體"/>
          <w:sz w:val="28"/>
        </w:rPr>
      </w:pPr>
      <w:r>
        <w:rPr>
          <w:rFonts w:eastAsia="標楷體"/>
          <w:sz w:val="28"/>
        </w:rPr>
        <w:t>本細則修正條文，除中華民國一百十年五月七日修正發布之第七條及第一百二十九條自一百十年四月一日施行，</w:t>
      </w:r>
      <w:r>
        <w:rPr>
          <w:rFonts w:eastAsia="標楷體"/>
          <w:sz w:val="28"/>
        </w:rPr>
        <w:t>一百十一</w:t>
      </w:r>
      <w:r>
        <w:rPr>
          <w:rFonts w:eastAsia="標楷體"/>
          <w:sz w:val="28"/>
        </w:rPr>
        <w:t>年</w:t>
      </w:r>
      <w:r>
        <w:rPr>
          <w:rFonts w:eastAsia="標楷體"/>
          <w:sz w:val="28"/>
        </w:rPr>
        <w:t>九</w:t>
      </w:r>
      <w:r>
        <w:rPr>
          <w:rFonts w:eastAsia="標楷體"/>
          <w:sz w:val="28"/>
        </w:rPr>
        <w:t>月</w:t>
      </w:r>
      <w:r>
        <w:rPr>
          <w:rFonts w:eastAsia="標楷體"/>
          <w:sz w:val="28"/>
        </w:rPr>
        <w:t>三十</w:t>
      </w:r>
      <w:r>
        <w:rPr>
          <w:rFonts w:eastAsia="標楷體"/>
          <w:sz w:val="28"/>
        </w:rPr>
        <w:t>日修正發布之第七條之一自一百十年一月一日施行、第一百零三條自一百十一年七月一日施行外，自發布日施行。</w:t>
      </w:r>
    </w:p>
    <w:sectPr w:rsidR="00695668">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D44" w:rsidRDefault="007A5D44">
      <w:r>
        <w:separator/>
      </w:r>
    </w:p>
  </w:endnote>
  <w:endnote w:type="continuationSeparator" w:id="0">
    <w:p w:rsidR="007A5D44" w:rsidRDefault="007A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方正新書宋, SimSun">
    <w:charset w:val="00"/>
    <w:family w:val="script"/>
    <w:pitch w:val="default"/>
  </w:font>
  <w:font w:name="華康細明體, 微軟正黑體">
    <w:charset w:val="00"/>
    <w:family w:val="modern"/>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華康楷書體W5, 'Ink Free'">
    <w:charset w:val="00"/>
    <w:family w:val="script"/>
    <w:pitch w:val="default"/>
  </w:font>
  <w:font w:name="華康中黑體">
    <w:charset w:val="00"/>
    <w:family w:val="modern"/>
    <w:pitch w:val="default"/>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D44" w:rsidRDefault="007A5D44">
      <w:r>
        <w:rPr>
          <w:color w:val="000000"/>
        </w:rPr>
        <w:separator/>
      </w:r>
    </w:p>
  </w:footnote>
  <w:footnote w:type="continuationSeparator" w:id="0">
    <w:p w:rsidR="007A5D44" w:rsidRDefault="007A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8FE"/>
    <w:multiLevelType w:val="multilevel"/>
    <w:tmpl w:val="6B8673BA"/>
    <w:styleLink w:val="WW8Num13"/>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1" w15:restartNumberingAfterBreak="0">
    <w:nsid w:val="0B54499F"/>
    <w:multiLevelType w:val="multilevel"/>
    <w:tmpl w:val="5C7C8008"/>
    <w:styleLink w:val="WW8Num14"/>
    <w:lvl w:ilvl="0">
      <w:start w:val="1"/>
      <w:numFmt w:val="japaneseCounting"/>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DD56272"/>
    <w:multiLevelType w:val="multilevel"/>
    <w:tmpl w:val="0C8461C6"/>
    <w:styleLink w:val="WW8Num15"/>
    <w:lvl w:ilvl="0">
      <w:start w:val="1"/>
      <w:numFmt w:val="japaneseCounting"/>
      <w:lvlText w:val="%1、"/>
      <w:lvlJc w:val="left"/>
      <w:pPr>
        <w:ind w:left="2946" w:hanging="720"/>
      </w:pPr>
    </w:lvl>
    <w:lvl w:ilvl="1">
      <w:start w:val="1"/>
      <w:numFmt w:val="ideographTraditional"/>
      <w:lvlText w:val="%1.%2、"/>
      <w:lvlJc w:val="left"/>
      <w:pPr>
        <w:ind w:left="3186" w:hanging="480"/>
      </w:pPr>
    </w:lvl>
    <w:lvl w:ilvl="2">
      <w:start w:val="1"/>
      <w:numFmt w:val="lowerRoman"/>
      <w:lvlText w:val="%1.%2.%3."/>
      <w:lvlJc w:val="right"/>
      <w:pPr>
        <w:ind w:left="3666" w:hanging="480"/>
      </w:pPr>
    </w:lvl>
    <w:lvl w:ilvl="3">
      <w:start w:val="1"/>
      <w:numFmt w:val="decimal"/>
      <w:lvlText w:val="%1.%2.%3.%4."/>
      <w:lvlJc w:val="left"/>
      <w:pPr>
        <w:ind w:left="4146" w:hanging="480"/>
      </w:pPr>
    </w:lvl>
    <w:lvl w:ilvl="4">
      <w:start w:val="1"/>
      <w:numFmt w:val="ideographTraditional"/>
      <w:lvlText w:val="%1.%2.%3.%4.%5、"/>
      <w:lvlJc w:val="left"/>
      <w:pPr>
        <w:ind w:left="4626" w:hanging="480"/>
      </w:pPr>
    </w:lvl>
    <w:lvl w:ilvl="5">
      <w:start w:val="1"/>
      <w:numFmt w:val="lowerRoman"/>
      <w:lvlText w:val="%1.%2.%3.%4.%5.%6."/>
      <w:lvlJc w:val="right"/>
      <w:pPr>
        <w:ind w:left="5106" w:hanging="480"/>
      </w:pPr>
    </w:lvl>
    <w:lvl w:ilvl="6">
      <w:start w:val="1"/>
      <w:numFmt w:val="decimal"/>
      <w:lvlText w:val="%1.%2.%3.%4.%5.%6.%7."/>
      <w:lvlJc w:val="left"/>
      <w:pPr>
        <w:ind w:left="5586" w:hanging="480"/>
      </w:pPr>
    </w:lvl>
    <w:lvl w:ilvl="7">
      <w:start w:val="1"/>
      <w:numFmt w:val="ideographTraditional"/>
      <w:lvlText w:val="%1.%2.%3.%4.%5.%6.%7.%8、"/>
      <w:lvlJc w:val="left"/>
      <w:pPr>
        <w:ind w:left="6066" w:hanging="480"/>
      </w:pPr>
    </w:lvl>
    <w:lvl w:ilvl="8">
      <w:start w:val="1"/>
      <w:numFmt w:val="lowerRoman"/>
      <w:lvlText w:val="%1.%2.%3.%4.%5.%6.%7.%8.%9."/>
      <w:lvlJc w:val="right"/>
      <w:pPr>
        <w:ind w:left="6546" w:hanging="480"/>
      </w:pPr>
    </w:lvl>
  </w:abstractNum>
  <w:abstractNum w:abstractNumId="3" w15:restartNumberingAfterBreak="0">
    <w:nsid w:val="0F4572CC"/>
    <w:multiLevelType w:val="multilevel"/>
    <w:tmpl w:val="7332B504"/>
    <w:styleLink w:val="WW8Num4"/>
    <w:lvl w:ilvl="0">
      <w:start w:val="1"/>
      <w:numFmt w:val="japaneseCounting"/>
      <w:lvlText w:val="%1、"/>
      <w:lvlJc w:val="left"/>
      <w:pPr>
        <w:ind w:left="2931" w:hanging="720"/>
      </w:pPr>
    </w:lvl>
    <w:lvl w:ilvl="1">
      <w:start w:val="1"/>
      <w:numFmt w:val="ideographTraditional"/>
      <w:lvlText w:val="%1.%2、"/>
      <w:lvlJc w:val="left"/>
      <w:pPr>
        <w:ind w:left="3171" w:hanging="480"/>
      </w:pPr>
    </w:lvl>
    <w:lvl w:ilvl="2">
      <w:start w:val="1"/>
      <w:numFmt w:val="lowerRoman"/>
      <w:lvlText w:val="%1.%2.%3."/>
      <w:lvlJc w:val="right"/>
      <w:pPr>
        <w:ind w:left="3651" w:hanging="480"/>
      </w:pPr>
    </w:lvl>
    <w:lvl w:ilvl="3">
      <w:start w:val="1"/>
      <w:numFmt w:val="decimal"/>
      <w:lvlText w:val="%1.%2.%3.%4."/>
      <w:lvlJc w:val="left"/>
      <w:pPr>
        <w:ind w:left="4131" w:hanging="480"/>
      </w:pPr>
    </w:lvl>
    <w:lvl w:ilvl="4">
      <w:start w:val="1"/>
      <w:numFmt w:val="ideographTraditional"/>
      <w:lvlText w:val="%1.%2.%3.%4.%5、"/>
      <w:lvlJc w:val="left"/>
      <w:pPr>
        <w:ind w:left="4611" w:hanging="480"/>
      </w:pPr>
    </w:lvl>
    <w:lvl w:ilvl="5">
      <w:start w:val="1"/>
      <w:numFmt w:val="lowerRoman"/>
      <w:lvlText w:val="%1.%2.%3.%4.%5.%6."/>
      <w:lvlJc w:val="right"/>
      <w:pPr>
        <w:ind w:left="5091" w:hanging="480"/>
      </w:pPr>
    </w:lvl>
    <w:lvl w:ilvl="6">
      <w:start w:val="1"/>
      <w:numFmt w:val="decimal"/>
      <w:lvlText w:val="%1.%2.%3.%4.%5.%6.%7."/>
      <w:lvlJc w:val="left"/>
      <w:pPr>
        <w:ind w:left="5571" w:hanging="480"/>
      </w:pPr>
    </w:lvl>
    <w:lvl w:ilvl="7">
      <w:start w:val="1"/>
      <w:numFmt w:val="ideographTraditional"/>
      <w:lvlText w:val="%1.%2.%3.%4.%5.%6.%7.%8、"/>
      <w:lvlJc w:val="left"/>
      <w:pPr>
        <w:ind w:left="6051" w:hanging="480"/>
      </w:pPr>
    </w:lvl>
    <w:lvl w:ilvl="8">
      <w:start w:val="1"/>
      <w:numFmt w:val="lowerRoman"/>
      <w:lvlText w:val="%1.%2.%3.%4.%5.%6.%7.%8.%9."/>
      <w:lvlJc w:val="right"/>
      <w:pPr>
        <w:ind w:left="6531" w:hanging="480"/>
      </w:pPr>
    </w:lvl>
  </w:abstractNum>
  <w:abstractNum w:abstractNumId="4" w15:restartNumberingAfterBreak="0">
    <w:nsid w:val="1EDD4B3E"/>
    <w:multiLevelType w:val="multilevel"/>
    <w:tmpl w:val="A8CC4EB2"/>
    <w:styleLink w:val="WW8Num1"/>
    <w:lvl w:ilvl="0">
      <w:start w:val="1"/>
      <w:numFmt w:val="japaneseCounting"/>
      <w:lvlText w:val="%1、"/>
      <w:lvlJc w:val="left"/>
      <w:pPr>
        <w:ind w:left="2959" w:hanging="720"/>
      </w:pPr>
    </w:lvl>
    <w:lvl w:ilvl="1">
      <w:start w:val="1"/>
      <w:numFmt w:val="ideographTraditional"/>
      <w:lvlText w:val="%1.%2、"/>
      <w:lvlJc w:val="left"/>
      <w:pPr>
        <w:ind w:left="3199" w:hanging="480"/>
      </w:pPr>
    </w:lvl>
    <w:lvl w:ilvl="2">
      <w:start w:val="1"/>
      <w:numFmt w:val="lowerRoman"/>
      <w:lvlText w:val="%1.%2.%3."/>
      <w:lvlJc w:val="right"/>
      <w:pPr>
        <w:ind w:left="3679" w:hanging="480"/>
      </w:pPr>
    </w:lvl>
    <w:lvl w:ilvl="3">
      <w:start w:val="1"/>
      <w:numFmt w:val="decimal"/>
      <w:lvlText w:val="%1.%2.%3.%4."/>
      <w:lvlJc w:val="left"/>
      <w:pPr>
        <w:ind w:left="4159" w:hanging="480"/>
      </w:pPr>
    </w:lvl>
    <w:lvl w:ilvl="4">
      <w:start w:val="1"/>
      <w:numFmt w:val="ideographTraditional"/>
      <w:lvlText w:val="%1.%2.%3.%4.%5、"/>
      <w:lvlJc w:val="left"/>
      <w:pPr>
        <w:ind w:left="4639" w:hanging="480"/>
      </w:pPr>
    </w:lvl>
    <w:lvl w:ilvl="5">
      <w:start w:val="1"/>
      <w:numFmt w:val="lowerRoman"/>
      <w:lvlText w:val="%1.%2.%3.%4.%5.%6."/>
      <w:lvlJc w:val="right"/>
      <w:pPr>
        <w:ind w:left="5119" w:hanging="480"/>
      </w:pPr>
    </w:lvl>
    <w:lvl w:ilvl="6">
      <w:start w:val="1"/>
      <w:numFmt w:val="decimal"/>
      <w:lvlText w:val="%1.%2.%3.%4.%5.%6.%7."/>
      <w:lvlJc w:val="left"/>
      <w:pPr>
        <w:ind w:left="5599" w:hanging="480"/>
      </w:pPr>
    </w:lvl>
    <w:lvl w:ilvl="7">
      <w:start w:val="1"/>
      <w:numFmt w:val="ideographTraditional"/>
      <w:lvlText w:val="%1.%2.%3.%4.%5.%6.%7.%8、"/>
      <w:lvlJc w:val="left"/>
      <w:pPr>
        <w:ind w:left="6079" w:hanging="480"/>
      </w:pPr>
    </w:lvl>
    <w:lvl w:ilvl="8">
      <w:start w:val="1"/>
      <w:numFmt w:val="lowerRoman"/>
      <w:lvlText w:val="%1.%2.%3.%4.%5.%6.%7.%8.%9."/>
      <w:lvlJc w:val="right"/>
      <w:pPr>
        <w:ind w:left="6559" w:hanging="480"/>
      </w:pPr>
    </w:lvl>
  </w:abstractNum>
  <w:abstractNum w:abstractNumId="5" w15:restartNumberingAfterBreak="0">
    <w:nsid w:val="1F93002F"/>
    <w:multiLevelType w:val="multilevel"/>
    <w:tmpl w:val="7736EB52"/>
    <w:styleLink w:val="WW8Num11"/>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6" w15:restartNumberingAfterBreak="0">
    <w:nsid w:val="27C61A7A"/>
    <w:multiLevelType w:val="multilevel"/>
    <w:tmpl w:val="DB5A84FC"/>
    <w:styleLink w:val="WW8Num7"/>
    <w:lvl w:ilvl="0">
      <w:start w:val="1"/>
      <w:numFmt w:val="japaneseCounting"/>
      <w:lvlText w:val="（%1）"/>
      <w:lvlJc w:val="left"/>
      <w:pPr>
        <w:ind w:left="785" w:hanging="72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7" w15:restartNumberingAfterBreak="0">
    <w:nsid w:val="29F9008A"/>
    <w:multiLevelType w:val="multilevel"/>
    <w:tmpl w:val="A704C246"/>
    <w:styleLink w:val="WW8Num8"/>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8" w15:restartNumberingAfterBreak="0">
    <w:nsid w:val="38304A3F"/>
    <w:multiLevelType w:val="multilevel"/>
    <w:tmpl w:val="233047CE"/>
    <w:styleLink w:val="WW8Num12"/>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9" w15:restartNumberingAfterBreak="0">
    <w:nsid w:val="3A96399A"/>
    <w:multiLevelType w:val="multilevel"/>
    <w:tmpl w:val="EAC64812"/>
    <w:styleLink w:val="WW8Num10"/>
    <w:lvl w:ilvl="0">
      <w:start w:val="1"/>
      <w:numFmt w:val="japaneseCounting"/>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3AF8748E"/>
    <w:multiLevelType w:val="multilevel"/>
    <w:tmpl w:val="64BAC01C"/>
    <w:styleLink w:val="WW8Num9"/>
    <w:lvl w:ilvl="0">
      <w:start w:val="1"/>
      <w:numFmt w:val="japaneseCounting"/>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3F2A7B82"/>
    <w:multiLevelType w:val="multilevel"/>
    <w:tmpl w:val="F1805D7A"/>
    <w:styleLink w:val="WW8Num2"/>
    <w:lvl w:ilvl="0">
      <w:start w:val="1"/>
      <w:numFmt w:val="japaneseCounting"/>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F9C01D8"/>
    <w:multiLevelType w:val="multilevel"/>
    <w:tmpl w:val="F62C7C28"/>
    <w:styleLink w:val="WW8Num1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405422C0"/>
    <w:multiLevelType w:val="multilevel"/>
    <w:tmpl w:val="AFC6BBC6"/>
    <w:styleLink w:val="WW8Num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5DCD4F34"/>
    <w:multiLevelType w:val="multilevel"/>
    <w:tmpl w:val="9F5E75CA"/>
    <w:styleLink w:val="WW8Num6"/>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15" w15:restartNumberingAfterBreak="0">
    <w:nsid w:val="75E40A21"/>
    <w:multiLevelType w:val="multilevel"/>
    <w:tmpl w:val="8592DA64"/>
    <w:styleLink w:val="WW8Num5"/>
    <w:lvl w:ilvl="0">
      <w:start w:val="1"/>
      <w:numFmt w:val="japaneseCounting"/>
      <w:lvlText w:val="%1、"/>
      <w:lvlJc w:val="left"/>
      <w:pPr>
        <w:ind w:left="549" w:hanging="480"/>
      </w:pPr>
      <w:rPr>
        <w:color w:val="000000"/>
      </w:rPr>
    </w:lvl>
    <w:lvl w:ilvl="1">
      <w:start w:val="1"/>
      <w:numFmt w:val="ideographTraditional"/>
      <w:lvlText w:val="%1.%2、"/>
      <w:lvlJc w:val="left"/>
      <w:pPr>
        <w:ind w:left="1029" w:hanging="480"/>
      </w:pPr>
    </w:lvl>
    <w:lvl w:ilvl="2">
      <w:start w:val="1"/>
      <w:numFmt w:val="lowerRoman"/>
      <w:lvlText w:val="%1.%2.%3."/>
      <w:lvlJc w:val="right"/>
      <w:pPr>
        <w:ind w:left="1509" w:hanging="480"/>
      </w:pPr>
    </w:lvl>
    <w:lvl w:ilvl="3">
      <w:start w:val="1"/>
      <w:numFmt w:val="decimal"/>
      <w:lvlText w:val="%1.%2.%3.%4."/>
      <w:lvlJc w:val="left"/>
      <w:pPr>
        <w:ind w:left="1989" w:hanging="480"/>
      </w:pPr>
    </w:lvl>
    <w:lvl w:ilvl="4">
      <w:start w:val="1"/>
      <w:numFmt w:val="ideographTraditional"/>
      <w:lvlText w:val="%1.%2.%3.%4.%5、"/>
      <w:lvlJc w:val="left"/>
      <w:pPr>
        <w:ind w:left="2469" w:hanging="480"/>
      </w:pPr>
    </w:lvl>
    <w:lvl w:ilvl="5">
      <w:start w:val="1"/>
      <w:numFmt w:val="lowerRoman"/>
      <w:lvlText w:val="%1.%2.%3.%4.%5.%6."/>
      <w:lvlJc w:val="right"/>
      <w:pPr>
        <w:ind w:left="2949" w:hanging="480"/>
      </w:pPr>
    </w:lvl>
    <w:lvl w:ilvl="6">
      <w:start w:val="1"/>
      <w:numFmt w:val="decimal"/>
      <w:lvlText w:val="%1.%2.%3.%4.%5.%6.%7."/>
      <w:lvlJc w:val="left"/>
      <w:pPr>
        <w:ind w:left="3429" w:hanging="480"/>
      </w:pPr>
    </w:lvl>
    <w:lvl w:ilvl="7">
      <w:start w:val="1"/>
      <w:numFmt w:val="ideographTraditional"/>
      <w:lvlText w:val="%1.%2.%3.%4.%5.%6.%7.%8、"/>
      <w:lvlJc w:val="left"/>
      <w:pPr>
        <w:ind w:left="3909" w:hanging="480"/>
      </w:pPr>
    </w:lvl>
    <w:lvl w:ilvl="8">
      <w:start w:val="1"/>
      <w:numFmt w:val="lowerRoman"/>
      <w:lvlText w:val="%1.%2.%3.%4.%5.%6.%7.%8.%9."/>
      <w:lvlJc w:val="right"/>
      <w:pPr>
        <w:ind w:left="4389" w:hanging="480"/>
      </w:pPr>
    </w:lvl>
  </w:abstractNum>
  <w:num w:numId="1">
    <w:abstractNumId w:val="4"/>
  </w:num>
  <w:num w:numId="2">
    <w:abstractNumId w:val="11"/>
  </w:num>
  <w:num w:numId="3">
    <w:abstractNumId w:val="13"/>
  </w:num>
  <w:num w:numId="4">
    <w:abstractNumId w:val="3"/>
  </w:num>
  <w:num w:numId="5">
    <w:abstractNumId w:val="15"/>
  </w:num>
  <w:num w:numId="6">
    <w:abstractNumId w:val="14"/>
  </w:num>
  <w:num w:numId="7">
    <w:abstractNumId w:val="6"/>
  </w:num>
  <w:num w:numId="8">
    <w:abstractNumId w:val="7"/>
  </w:num>
  <w:num w:numId="9">
    <w:abstractNumId w:val="10"/>
  </w:num>
  <w:num w:numId="10">
    <w:abstractNumId w:val="9"/>
  </w:num>
  <w:num w:numId="11">
    <w:abstractNumId w:val="5"/>
  </w:num>
  <w:num w:numId="12">
    <w:abstractNumId w:val="8"/>
  </w:num>
  <w:num w:numId="13">
    <w:abstractNumId w:val="0"/>
  </w:num>
  <w:num w:numId="14">
    <w:abstractNumId w:val="1"/>
  </w:num>
  <w:num w:numId="15">
    <w:abstractNumId w:val="2"/>
  </w:num>
  <w:num w:numId="16">
    <w:abstractNumId w:val="12"/>
  </w:num>
  <w:num w:numId="17">
    <w:abstractNumId w:val="10"/>
    <w:lvlOverride w:ilvl="0">
      <w:startOverride w:val="1"/>
    </w:lvlOverride>
  </w:num>
  <w:num w:numId="18">
    <w:abstractNumId w:val="1"/>
    <w:lvlOverride w:ilvl="0">
      <w:startOverride w:val="1"/>
    </w:lvlOverride>
  </w:num>
  <w:num w:numId="19">
    <w:abstractNumId w:val="9"/>
    <w:lvlOverride w:ilvl="0">
      <w:startOverride w:val="1"/>
    </w:lvlOverride>
  </w:num>
  <w:num w:numId="2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95668"/>
    <w:rsid w:val="002D6515"/>
    <w:rsid w:val="00695668"/>
    <w:rsid w:val="007A5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D65C1-EF40-4886-B500-52F6F70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jc w:val="both"/>
      <w:textAlignment w:val="center"/>
    </w:pPr>
    <w:rPr>
      <w:rFonts w:ascii="Times New Roman" w:eastAsia="華康細明體, 微軟正黑體"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overflowPunct/>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overflowPunct/>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overflowPunct/>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w:hAnsi="Times New Roman" w:cs="Times New Roman"/>
      <w:sz w:val="21"/>
      <w:lang w:bidi="ar-SA"/>
    </w:rPr>
  </w:style>
  <w:style w:type="paragraph" w:styleId="affffffe">
    <w:name w:val="List Paragraph"/>
    <w:basedOn w:val="Standard"/>
    <w:pPr>
      <w:wordWrap/>
      <w:overflowPunct/>
      <w:ind w:left="480"/>
      <w:jc w:val="left"/>
      <w:textAlignment w:val="auto"/>
    </w:pPr>
    <w:rPr>
      <w:rFonts w:ascii="Calibri" w:eastAsia="新細明體, PMingLiU" w:hAnsi="Calibri"/>
      <w:sz w:val="24"/>
      <w:szCs w:val="22"/>
    </w:rPr>
  </w:style>
  <w:style w:type="paragraph" w:customStyle="1" w:styleId="Footnote">
    <w:name w:val="Footnote"/>
    <w:basedOn w:val="Standard"/>
    <w:pPr>
      <w:wordWrap/>
      <w:overflowPunct/>
      <w:snapToGrid w:val="0"/>
      <w:jc w:val="left"/>
      <w:textAlignment w:val="auto"/>
    </w:pPr>
    <w:rPr>
      <w:rFonts w:eastAsia="新細明體, PMingLiU"/>
      <w:sz w:val="20"/>
      <w:szCs w:val="20"/>
    </w:rPr>
  </w:style>
  <w:style w:type="paragraph" w:customStyle="1" w:styleId="110">
    <w:name w:val="標題 11"/>
    <w:basedOn w:val="Standard"/>
    <w:pPr>
      <w:wordWrap/>
      <w:overflowPunct/>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overflowPunct/>
      <w:spacing w:before="280" w:after="280"/>
      <w:jc w:val="left"/>
      <w:textAlignment w:val="auto"/>
    </w:pPr>
    <w:rPr>
      <w:rFonts w:ascii="新細明體, PMingLiU" w:eastAsia="新細明體, PMingLiU" w:hAnsi="新細明體, PMingLiU" w:cs="新細明體, PMingLiU"/>
      <w:kern w:val="0"/>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9">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w:hAnsi="Times New Roman" w:cs="Times New Roman"/>
      <w:sz w:val="21"/>
      <w:szCs w:val="20"/>
    </w:rPr>
  </w:style>
  <w:style w:type="character" w:customStyle="1" w:styleId="afffffff0">
    <w:name w:val="頁首 字元"/>
    <w:rPr>
      <w:rFonts w:ascii="Times New Roman" w:eastAsia="華康細明體, 微軟正黑體"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w:hAnsi="Times New Roman" w:cs="Times New Roman"/>
      <w:kern w:val="3"/>
      <w:sz w:val="21"/>
      <w:szCs w:val="24"/>
    </w:rPr>
  </w:style>
  <w:style w:type="character" w:customStyle="1" w:styleId="afffffff8">
    <w:name w:val="註解主旨 字元"/>
    <w:rPr>
      <w:rFonts w:ascii="Times New Roman" w:eastAsia="華康細明體, 微軟正黑體"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eastAsia="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eastAsia="新細明體, PMingLiU" w:hAnsi="新細明體, PMingLiU" w:cs="新細明體, PMingLiU"/>
      <w:sz w:val="32"/>
      <w:szCs w:val="3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莊國榮</dc:creator>
  <cp:keywords/>
  <dc:description/>
  <cp:lastModifiedBy>user</cp:lastModifiedBy>
  <cp:revision>2</cp:revision>
  <cp:lastPrinted>2019-07-24T23:04:00Z</cp:lastPrinted>
  <dcterms:created xsi:type="dcterms:W3CDTF">2022-10-17T03:38:00Z</dcterms:created>
  <dcterms:modified xsi:type="dcterms:W3CDTF">2022-10-17T03:38:00Z</dcterms:modified>
</cp:coreProperties>
</file>